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B61090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>___»  _________  20</w:t>
      </w:r>
      <w:r w:rsidR="00AF22D7">
        <w:rPr>
          <w:sz w:val="20"/>
          <w:szCs w:val="20"/>
          <w:shd w:val="clear" w:color="auto" w:fill="FFFFFF"/>
        </w:rPr>
        <w:t>20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2856B6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20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966EFB">
        <w:rPr>
          <w:sz w:val="20"/>
          <w:szCs w:val="20"/>
          <w:shd w:val="clear" w:color="auto" w:fill="FFFFFF"/>
        </w:rPr>
        <w:t>20</w:t>
      </w:r>
      <w:r w:rsidR="0003699C">
        <w:rPr>
          <w:sz w:val="20"/>
          <w:szCs w:val="20"/>
          <w:shd w:val="clear" w:color="auto" w:fill="FFFFFF"/>
        </w:rPr>
        <w:t>ву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665B33" w:rsidRPr="00AB262C">
        <w:rPr>
          <w:bCs/>
          <w:sz w:val="20"/>
          <w:szCs w:val="20"/>
          <w:highlight w:val="yellow"/>
        </w:rPr>
        <w:t xml:space="preserve">Наименование закупки»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>_______ 20</w:t>
      </w:r>
      <w:r w:rsidR="009D0C45">
        <w:rPr>
          <w:sz w:val="20"/>
          <w:szCs w:val="20"/>
          <w:highlight w:val="yellow"/>
        </w:rPr>
        <w:t xml:space="preserve">20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FC094A">
      <w:pPr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FC094A">
      <w:pPr>
        <w:pStyle w:val="4"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02</w:t>
      </w:r>
      <w:r w:rsidR="00B878F6">
        <w:rPr>
          <w:sz w:val="20"/>
          <w:szCs w:val="20"/>
          <w:highlight w:val="yellow"/>
          <w:shd w:val="clear" w:color="auto" w:fill="FFFFFF"/>
          <w:lang w:val="ru-RU"/>
        </w:rPr>
        <w:t>1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14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267A4B" w:rsidRPr="00267A4B">
        <w:rPr>
          <w:sz w:val="20"/>
          <w:szCs w:val="20"/>
          <w:highlight w:val="yellow"/>
          <w:shd w:val="clear" w:color="auto" w:fill="FFFFFF"/>
          <w:lang w:val="ru-RU"/>
        </w:rPr>
        <w:t>г. Уфа, ул. Дмитрия Донского, д. 9.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BE1B3B">
      <w:pPr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BE1B3B">
      <w:pPr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BE1B3B">
      <w:pPr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BE1B3B">
      <w:pPr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BE1B3B">
      <w:pPr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FC094A">
      <w:pPr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Pr="004E27EB">
        <w:rPr>
          <w:sz w:val="20"/>
          <w:szCs w:val="20"/>
          <w:highlight w:val="yellow"/>
          <w:shd w:val="clear" w:color="auto" w:fill="FFFFFF"/>
        </w:rPr>
        <w:t xml:space="preserve">_____ </w:t>
      </w:r>
      <w:r w:rsidR="002310DB">
        <w:rPr>
          <w:sz w:val="20"/>
          <w:szCs w:val="20"/>
          <w:highlight w:val="yellow"/>
          <w:shd w:val="clear" w:color="auto" w:fill="FFFFFF"/>
        </w:rPr>
        <w:t>руб., в т. ч. НДС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</w:t>
      </w:r>
      <w:r>
        <w:rPr>
          <w:sz w:val="20"/>
          <w:szCs w:val="20"/>
          <w:shd w:val="clear" w:color="auto" w:fill="FFFFFF"/>
        </w:rPr>
        <w:lastRenderedPageBreak/>
        <w:t xml:space="preserve">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FC094A">
      <w:pPr>
        <w:pStyle w:val="western"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D913B9">
        <w:rPr>
          <w:sz w:val="20"/>
          <w:szCs w:val="20"/>
          <w:shd w:val="clear" w:color="auto" w:fill="FFFFFF"/>
        </w:rPr>
        <w:t xml:space="preserve">15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pStyle w:val="ConsNormal"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4.4.</w:t>
      </w:r>
      <w:r w:rsidRPr="00AE7F54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употреблении). 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FC094A" w:rsidRP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5.1. Поставка Товара осуществляется партиями. Приемка Товара должна осуществляться по количеству и качеству. </w:t>
      </w:r>
      <w:r w:rsidRPr="00FC094A">
        <w:rPr>
          <w:sz w:val="20"/>
          <w:szCs w:val="20"/>
          <w:shd w:val="clear" w:color="auto" w:fill="FFFFFF"/>
        </w:rPr>
        <w:t>Поставка осуществляется транспортом Поставщика на склад Заказчика.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z w:val="20"/>
          <w:szCs w:val="20"/>
          <w:shd w:val="clear" w:color="auto" w:fill="FFFFFF"/>
        </w:rPr>
        <w:t xml:space="preserve">5.2.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C094A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>
        <w:rPr>
          <w:iCs/>
          <w:sz w:val="20"/>
          <w:szCs w:val="20"/>
          <w:shd w:val="clear" w:color="auto" w:fill="FFFFFF"/>
        </w:rPr>
        <w:t>Договор</w:t>
      </w:r>
      <w:r w:rsidRPr="00FC094A">
        <w:rPr>
          <w:iCs/>
          <w:sz w:val="20"/>
          <w:szCs w:val="20"/>
          <w:shd w:val="clear" w:color="auto" w:fill="FFFFFF"/>
        </w:rPr>
        <w:t xml:space="preserve">а.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5.3.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943AC" w:rsidRDefault="006943AC" w:rsidP="006943AC">
      <w:pPr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Заказчик </w:t>
      </w:r>
      <w:r w:rsidR="00804D4E">
        <w:rPr>
          <w:sz w:val="20"/>
          <w:szCs w:val="20"/>
          <w:shd w:val="clear" w:color="auto" w:fill="FFFFFF"/>
        </w:rPr>
        <w:t>вправе</w:t>
      </w:r>
      <w:r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>
        <w:rPr>
          <w:sz w:val="20"/>
          <w:szCs w:val="20"/>
          <w:shd w:val="clear" w:color="auto" w:fill="FFFFFF"/>
        </w:rPr>
        <w:t>своими силами.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5.7.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>
        <w:rPr>
          <w:sz w:val="20"/>
          <w:szCs w:val="20"/>
          <w:shd w:val="clear" w:color="auto" w:fill="FFFFFF"/>
        </w:rPr>
        <w:t>не более чем 20</w:t>
      </w:r>
      <w:r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ом.</w:t>
      </w:r>
    </w:p>
    <w:p w:rsidR="00FC094A" w:rsidRDefault="00FC094A" w:rsidP="00FC094A">
      <w:pPr>
        <w:pStyle w:val="a9"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10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FC094A">
      <w:pPr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Default="00D770E6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D770E6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332DC1" w:rsidRDefault="00332DC1" w:rsidP="00D770E6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FC094A">
      <w:pPr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FC094A">
      <w:pPr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FC094A">
      <w:pPr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332DC1" w:rsidRDefault="00332DC1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8F6B5B">
      <w:pPr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lastRenderedPageBreak/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332DC1" w:rsidRDefault="00332DC1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080889" w:rsidRPr="00080889">
        <w:rPr>
          <w:sz w:val="20"/>
          <w:szCs w:val="20"/>
          <w:highlight w:val="yellow"/>
        </w:rPr>
        <w:t>2</w:t>
      </w:r>
      <w:r w:rsidR="00B878F6">
        <w:rPr>
          <w:sz w:val="20"/>
          <w:szCs w:val="20"/>
        </w:rPr>
        <w:t>2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FC094A">
      <w:pPr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>
        <w:rPr>
          <w:b/>
          <w:bCs/>
          <w:sz w:val="20"/>
          <w:szCs w:val="20"/>
          <w:shd w:val="clear" w:color="auto" w:fill="FFFFFF"/>
          <w:lang w:eastAsia="ru-RU"/>
        </w:rPr>
        <w:t>14</w:t>
      </w:r>
      <w:r w:rsidRPr="007C4FB8">
        <w:rPr>
          <w:b/>
          <w:bCs/>
          <w:sz w:val="20"/>
          <w:szCs w:val="20"/>
          <w:shd w:val="clear" w:color="auto" w:fill="FFFFFF"/>
          <w:lang w:eastAsia="ru-RU"/>
        </w:rPr>
        <w:t>. ГАРАНТИЙНЫЕ ОБЯЗАТЕЛЬСТВА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14.1. Срок действия гарантии производителя определяется технической документацией и составляет 12 месяцев. Срок действия гарантии, предоставляемой Поставщиком, не менее установленного заводом-производителем, и составляет 12 месяцев.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 В период гарантийного срока Поставщик обязуется за свой счет производить гарантийный ремонт. Поставщик на период гарантийного срока оказывает весь комплекс бесплатных услуг: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14.3.1. по гарантийному ремонту Товара;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</w:t>
      </w:r>
      <w:r>
        <w:rPr>
          <w:sz w:val="20"/>
          <w:szCs w:val="20"/>
          <w:lang w:eastAsia="zh-CN"/>
        </w:rPr>
        <w:lastRenderedPageBreak/>
        <w:t>устранения выявленных недостатков срок гарантии на товар соответственно продлевается на срок до устранения недостатков.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613FD" w:rsidRDefault="00D613FD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E584F" w:rsidRDefault="00FE584F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C094A" w:rsidRDefault="00BE1B3B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C4293A" w:rsidRDefault="00C4293A" w:rsidP="00C4293A">
            <w:pPr>
              <w:jc w:val="both"/>
              <w:rPr>
                <w:b/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</w:tc>
      </w:tr>
    </w:tbl>
    <w:p w:rsidR="00804D4E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422010" w:rsidRDefault="00422010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71DC5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AF22D7">
        <w:rPr>
          <w:sz w:val="20"/>
          <w:szCs w:val="20"/>
          <w:shd w:val="clear" w:color="auto" w:fill="FFFFFF"/>
        </w:rPr>
        <w:t>20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4819"/>
        <w:gridCol w:w="1559"/>
        <w:gridCol w:w="851"/>
        <w:gridCol w:w="850"/>
        <w:gridCol w:w="1843"/>
        <w:gridCol w:w="1701"/>
      </w:tblGrid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9B42D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D941A1">
        <w:trPr>
          <w:trHeight w:val="23"/>
        </w:trPr>
        <w:tc>
          <w:tcPr>
            <w:tcW w:w="136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D941A1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74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D941A1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D941A1" w:rsidRDefault="00D941A1" w:rsidP="00B878F6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14 дней, не позднее </w:t>
            </w:r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31.12.202</w:t>
            </w:r>
            <w:r w:rsidR="00B878F6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804D4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3E" w:rsidRDefault="0012053E">
      <w:r>
        <w:separator/>
      </w:r>
    </w:p>
  </w:endnote>
  <w:endnote w:type="continuationSeparator" w:id="0">
    <w:p w:rsidR="0012053E" w:rsidRDefault="001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0C3CDB" w:rsidRPr="000C3CDB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3E" w:rsidRDefault="0012053E">
      <w:r>
        <w:separator/>
      </w:r>
    </w:p>
  </w:footnote>
  <w:footnote w:type="continuationSeparator" w:id="0">
    <w:p w:rsidR="0012053E" w:rsidRDefault="0012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9D60-B392-48B0-90DC-986520E8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4147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26</cp:revision>
  <cp:lastPrinted>2016-12-23T08:56:00Z</cp:lastPrinted>
  <dcterms:created xsi:type="dcterms:W3CDTF">2019-02-19T10:27:00Z</dcterms:created>
  <dcterms:modified xsi:type="dcterms:W3CDTF">2020-12-17T05:01:00Z</dcterms:modified>
</cp:coreProperties>
</file>